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96" w:rsidRPr="006834F6" w:rsidRDefault="00353896" w:rsidP="006834F6">
      <w:pPr>
        <w:spacing w:line="360" w:lineRule="exact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6834F6">
        <w:rPr>
          <w:rFonts w:ascii="Times New Roman" w:hAnsi="Times New Roman" w:cs="Times New Roman"/>
          <w:sz w:val="24"/>
          <w:szCs w:val="24"/>
        </w:rPr>
        <w:t xml:space="preserve">Под торговым объектом понимается магазин или павильон, предусмотренные частью 1 статьи 19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продукции»: 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</w:t>
      </w:r>
      <w:proofErr w:type="gramEnd"/>
      <w:r w:rsidRPr="006834F6">
        <w:rPr>
          <w:rFonts w:ascii="Times New Roman" w:hAnsi="Times New Roman" w:cs="Times New Roman"/>
          <w:sz w:val="24"/>
          <w:szCs w:val="24"/>
        </w:rPr>
        <w:t xml:space="preserve"> приема, хранения товаров и подготовки их к продаже, под павильоном понимается строение, имеющее торговый зал и рассчитанное на одно рабочее место или несколько рабочих мест; </w:t>
      </w:r>
      <w:proofErr w:type="gramStart"/>
      <w:r w:rsidRPr="006834F6">
        <w:rPr>
          <w:rFonts w:ascii="Times New Roman" w:hAnsi="Times New Roman" w:cs="Times New Roman"/>
          <w:sz w:val="24"/>
          <w:szCs w:val="24"/>
        </w:rPr>
        <w:t xml:space="preserve">либо другой торговый объект, предусмотренный частью 2 статьи 19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продукции»: в случае отсутствия в населенном пункте магазинов и павильонов допускается торговля табачной продукцией или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продукции в других торговых объектах</w:t>
      </w:r>
      <w:proofErr w:type="gramEnd"/>
      <w:r w:rsidRPr="006834F6">
        <w:rPr>
          <w:rFonts w:ascii="Times New Roman" w:hAnsi="Times New Roman" w:cs="Times New Roman"/>
          <w:sz w:val="24"/>
          <w:szCs w:val="24"/>
        </w:rPr>
        <w:t xml:space="preserve"> или развозная торговля табачной продукцией или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продукции. Лицензии на указанные виды деятельности выдаются исполнительными органами субъектов Российской Федерации на срок, указанный заявителем в заявлении о выдаче соответствующей лицензии, но не более чем на пять лет. Государственная пошлина уплачивается в соответствии с подпунктом 146 пункта 1 статьи 333.33 Налогового кодекса Российской Федерации и составляет: за предоставление лицензии на розничную торговлю табачной продукцией и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продукцией или продление срока действия такой лицензии - 20 000 рублей за каждый год срока действия такой лицензии; за предоставление лицензии на развозную торговлю табачной продукцией и </w:t>
      </w:r>
      <w:proofErr w:type="spellStart"/>
      <w:r w:rsidRPr="006834F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6834F6">
        <w:rPr>
          <w:rFonts w:ascii="Times New Roman" w:hAnsi="Times New Roman" w:cs="Times New Roman"/>
          <w:sz w:val="24"/>
          <w:szCs w:val="24"/>
        </w:rPr>
        <w:t xml:space="preserve"> продукцией или продление срока действия такой лицензии - 20 000 рублей за каждый год срока действия такой лицензии. Требование о наличии лицензии на указанные виды деятельности применяется с 1 марта 2027 года. </w:t>
      </w:r>
      <w:bookmarkStart w:id="0" w:name="_GoBack"/>
      <w:bookmarkEnd w:id="0"/>
    </w:p>
    <w:sectPr w:rsidR="00353896" w:rsidRPr="00683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896"/>
    <w:rsid w:val="00353896"/>
    <w:rsid w:val="00620F78"/>
    <w:rsid w:val="006834F6"/>
    <w:rsid w:val="0073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Ольга Александровна</dc:creator>
  <cp:lastModifiedBy>Кузнецова Ольга Александровна</cp:lastModifiedBy>
  <cp:revision>1</cp:revision>
  <dcterms:created xsi:type="dcterms:W3CDTF">2026-10-02T06:33:00Z</dcterms:created>
  <dcterms:modified xsi:type="dcterms:W3CDTF">2026-10-02T06:48:00Z</dcterms:modified>
</cp:coreProperties>
</file>